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865"/>
        <w:tblW w:w="5050" w:type="pct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928"/>
        <w:gridCol w:w="2586"/>
        <w:gridCol w:w="3946"/>
      </w:tblGrid>
      <w:tr w:rsidR="00CF72D0" w:rsidRPr="00263799" w:rsidTr="00196A54">
        <w:tc>
          <w:tcPr>
            <w:tcW w:w="1584" w:type="pct"/>
            <w:tcBorders>
              <w:top w:val="single" w:sz="2" w:space="0" w:color="C8C8C8"/>
              <w:left w:val="outset" w:sz="6" w:space="0" w:color="auto"/>
              <w:bottom w:val="single" w:sz="2" w:space="0" w:color="C8C8C8"/>
              <w:right w:val="single" w:sz="2" w:space="0" w:color="C8C8C8"/>
            </w:tcBorders>
            <w:shd w:val="clear" w:color="auto" w:fill="E8E8E8"/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425" w:type="pct"/>
            <w:tcBorders>
              <w:top w:val="single" w:sz="2" w:space="0" w:color="C8C8C8"/>
              <w:left w:val="outset" w:sz="6" w:space="0" w:color="auto"/>
              <w:bottom w:val="single" w:sz="2" w:space="0" w:color="C8C8C8"/>
              <w:right w:val="single" w:sz="2" w:space="0" w:color="C8C8C8"/>
            </w:tcBorders>
            <w:shd w:val="clear" w:color="auto" w:fill="E8E8E8"/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Periodo</w:t>
            </w:r>
          </w:p>
        </w:tc>
        <w:tc>
          <w:tcPr>
            <w:tcW w:w="0" w:type="auto"/>
            <w:tcBorders>
              <w:top w:val="single" w:sz="2" w:space="0" w:color="C8C8C8"/>
              <w:left w:val="outset" w:sz="6" w:space="0" w:color="auto"/>
              <w:bottom w:val="single" w:sz="2" w:space="0" w:color="C8C8C8"/>
              <w:right w:val="single" w:sz="2" w:space="0" w:color="C8C8C8"/>
            </w:tcBorders>
            <w:shd w:val="clear" w:color="auto" w:fill="E8E8E8"/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Cifras originales (Variación porcentual anual)</w:t>
            </w:r>
          </w:p>
        </w:tc>
        <w:tc>
          <w:tcPr>
            <w:tcW w:w="1807" w:type="pct"/>
            <w:tcBorders>
              <w:top w:val="single" w:sz="2" w:space="0" w:color="C8C8C8"/>
              <w:left w:val="outset" w:sz="6" w:space="0" w:color="auto"/>
              <w:bottom w:val="single" w:sz="2" w:space="0" w:color="C8C8C8"/>
              <w:right w:val="single" w:sz="2" w:space="0" w:color="C8C8C8"/>
            </w:tcBorders>
            <w:shd w:val="clear" w:color="auto" w:fill="E8E8E8"/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Cifras </w:t>
            </w:r>
            <w:proofErr w:type="spellStart"/>
            <w:r w:rsidRPr="002637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desestacionalizadas</w:t>
            </w:r>
            <w:proofErr w:type="spellEnd"/>
            <w:r w:rsidRPr="002637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(Variación porcentual mensual)</w:t>
            </w:r>
          </w:p>
        </w:tc>
      </w:tr>
      <w:tr w:rsidR="00CF72D0" w:rsidRPr="00263799" w:rsidTr="00196A54"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795A1D" w:rsidP="00196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7" w:history="1">
              <w:r w:rsidR="00CF72D0"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lang w:eastAsia="es-MX"/>
                </w:rPr>
                <w:t>Producto interno bruto trimestral</w:t>
              </w:r>
            </w:hyperlink>
            <w:r w:rsidR="00CF72D0"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  <w:hyperlink r:id="rId8" w:history="1">
              <w:r w:rsidR="00CF72D0"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vertAlign w:val="superscript"/>
                  <w:lang w:eastAsia="es-MX"/>
                </w:rPr>
                <w:t>a</w:t>
              </w:r>
              <w:r w:rsidR="00CF72D0" w:rsidRPr="00263799">
                <w:rPr>
                  <w:rFonts w:ascii="Arial" w:eastAsia="Times New Roman" w:hAnsi="Arial" w:cs="Arial"/>
                  <w:vanish/>
                  <w:color w:val="000000"/>
                  <w:spacing w:val="24"/>
                  <w:sz w:val="18"/>
                  <w:vertAlign w:val="superscript"/>
                  <w:lang w:eastAsia="es-MX"/>
                </w:rPr>
                <w:t>La variación porcentual de la serie desestacionalizada es respecto al trimestre inmediato anterior.</w:t>
              </w:r>
            </w:hyperlink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II </w:t>
            </w:r>
            <w:proofErr w:type="spellStart"/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Trim</w:t>
            </w:r>
            <w:proofErr w:type="spellEnd"/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4.10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0.87</w:t>
            </w:r>
          </w:p>
        </w:tc>
      </w:tr>
      <w:tr w:rsidR="00CF72D0" w:rsidRPr="00263799" w:rsidTr="00196A54"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795A1D" w:rsidP="00196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9" w:history="1">
              <w:r w:rsidR="00CF72D0"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lang w:eastAsia="es-MX"/>
                </w:rPr>
                <w:t>Indicador global de la actividad económica</w:t>
              </w:r>
            </w:hyperlink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Ago.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3.51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- 0.41</w:t>
            </w:r>
          </w:p>
        </w:tc>
      </w:tr>
      <w:tr w:rsidR="00CF72D0" w:rsidRPr="00263799" w:rsidTr="00196A54"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795A1D" w:rsidP="00196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0" w:history="1">
              <w:r w:rsidR="00CF72D0"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lang w:eastAsia="es-MX"/>
                </w:rPr>
                <w:t>Índice de confianza del consumidor</w:t>
              </w:r>
            </w:hyperlink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Sept.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1.78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- 1.48</w:t>
            </w:r>
          </w:p>
        </w:tc>
      </w:tr>
      <w:tr w:rsidR="00CF72D0" w:rsidRPr="00263799" w:rsidTr="00196A54"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795A1D" w:rsidP="00196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1" w:history="1">
              <w:r w:rsidR="00CF72D0"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lang w:eastAsia="es-MX"/>
                </w:rPr>
                <w:t>Actividad industrial</w:t>
              </w:r>
            </w:hyperlink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Ago.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3.57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- 0.76</w:t>
            </w:r>
          </w:p>
        </w:tc>
      </w:tr>
      <w:tr w:rsidR="00CF72D0" w:rsidRPr="00263799" w:rsidTr="00196A54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F0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F72D0" w:rsidRPr="00263799" w:rsidRDefault="00795A1D" w:rsidP="00196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hyperlink r:id="rId12" w:history="1">
              <w:r w:rsidR="00CF72D0" w:rsidRPr="00263799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u w:val="single"/>
                  <w:lang w:eastAsia="es-MX"/>
                </w:rPr>
                <w:t>Balanza comercial de mercancías de México:</w:t>
              </w:r>
            </w:hyperlink>
          </w:p>
        </w:tc>
      </w:tr>
      <w:tr w:rsidR="00CF72D0" w:rsidRPr="00263799" w:rsidTr="00196A54"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  Exportación total de mercancías </w:t>
            </w:r>
            <w:hyperlink r:id="rId13" w:history="1">
              <w:r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vertAlign w:val="superscript"/>
                  <w:lang w:eastAsia="es-MX"/>
                </w:rPr>
                <w:t>b</w:t>
              </w:r>
              <w:r w:rsidRPr="00263799">
                <w:rPr>
                  <w:rFonts w:ascii="Arial" w:eastAsia="Times New Roman" w:hAnsi="Arial" w:cs="Arial"/>
                  <w:vanish/>
                  <w:color w:val="000000"/>
                  <w:spacing w:val="24"/>
                  <w:sz w:val="18"/>
                  <w:vertAlign w:val="superscript"/>
                  <w:lang w:eastAsia="es-MX"/>
                </w:rPr>
                <w:t>Cifras oportunas.</w:t>
              </w:r>
            </w:hyperlink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Sept.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1.84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- 0.05</w:t>
            </w:r>
          </w:p>
        </w:tc>
      </w:tr>
      <w:tr w:rsidR="00CF72D0" w:rsidRPr="00263799" w:rsidTr="00196A54"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  Importación total de mercancías  </w:t>
            </w:r>
            <w:hyperlink r:id="rId14" w:history="1">
              <w:r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vertAlign w:val="superscript"/>
                  <w:lang w:eastAsia="es-MX"/>
                </w:rPr>
                <w:t>b</w:t>
              </w:r>
              <w:r w:rsidRPr="00263799">
                <w:rPr>
                  <w:rFonts w:ascii="Arial" w:eastAsia="Times New Roman" w:hAnsi="Arial" w:cs="Arial"/>
                  <w:vanish/>
                  <w:color w:val="000000"/>
                  <w:spacing w:val="24"/>
                  <w:sz w:val="18"/>
                  <w:vertAlign w:val="superscript"/>
                  <w:lang w:eastAsia="es-MX"/>
                </w:rPr>
                <w:t>Cifras oportunas.</w:t>
              </w:r>
            </w:hyperlink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Sept.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- 5.14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- 1.44</w:t>
            </w:r>
          </w:p>
        </w:tc>
      </w:tr>
      <w:tr w:rsidR="00CF72D0" w:rsidRPr="00263799" w:rsidTr="00196A54"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  Saldo </w:t>
            </w:r>
            <w:hyperlink r:id="rId15" w:history="1">
              <w:r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vertAlign w:val="superscript"/>
                  <w:lang w:eastAsia="es-MX"/>
                </w:rPr>
                <w:t>b</w:t>
              </w:r>
              <w:r w:rsidRPr="00263799">
                <w:rPr>
                  <w:rFonts w:ascii="Arial" w:eastAsia="Times New Roman" w:hAnsi="Arial" w:cs="Arial"/>
                  <w:vanish/>
                  <w:color w:val="000000"/>
                  <w:spacing w:val="24"/>
                  <w:sz w:val="18"/>
                  <w:vertAlign w:val="superscript"/>
                  <w:lang w:eastAsia="es-MX"/>
                </w:rPr>
                <w:t>Cifras oportunas.</w:t>
              </w:r>
            </w:hyperlink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Sept.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795A1D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6" w:history="1">
              <w:r w:rsidR="00CF72D0"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lang w:eastAsia="es-MX"/>
                </w:rPr>
                <w:t>NS</w:t>
              </w:r>
              <w:r w:rsidR="00CF72D0" w:rsidRPr="00263799">
                <w:rPr>
                  <w:rFonts w:ascii="Arial" w:eastAsia="Times New Roman" w:hAnsi="Arial" w:cs="Arial"/>
                  <w:vanish/>
                  <w:color w:val="000000"/>
                  <w:spacing w:val="24"/>
                  <w:sz w:val="18"/>
                  <w:lang w:eastAsia="es-MX"/>
                </w:rPr>
                <w:t>No significativo</w:t>
              </w:r>
            </w:hyperlink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795A1D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7" w:history="1">
              <w:r w:rsidR="00CF72D0"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lang w:eastAsia="es-MX"/>
                </w:rPr>
                <w:t>NS</w:t>
              </w:r>
              <w:r w:rsidR="00CF72D0" w:rsidRPr="00263799">
                <w:rPr>
                  <w:rFonts w:ascii="Arial" w:eastAsia="Times New Roman" w:hAnsi="Arial" w:cs="Arial"/>
                  <w:vanish/>
                  <w:color w:val="000000"/>
                  <w:spacing w:val="24"/>
                  <w:sz w:val="18"/>
                  <w:lang w:eastAsia="es-MX"/>
                </w:rPr>
                <w:t>No significativo</w:t>
              </w:r>
            </w:hyperlink>
          </w:p>
        </w:tc>
      </w:tr>
      <w:tr w:rsidR="00CF72D0" w:rsidRPr="00263799" w:rsidTr="00196A54"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795A1D" w:rsidP="00196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8" w:history="1">
              <w:r w:rsidR="00CF72D0"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lang w:eastAsia="es-MX"/>
                </w:rPr>
                <w:t>Tasa de desocupación nacional (ENOE)</w:t>
              </w:r>
            </w:hyperlink>
            <w:r w:rsidR="00CF72D0"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  <w:hyperlink r:id="rId19" w:history="1">
              <w:r w:rsidR="00CF72D0"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vertAlign w:val="superscript"/>
                  <w:lang w:eastAsia="es-MX"/>
                </w:rPr>
                <w:t>c</w:t>
              </w:r>
              <w:r w:rsidR="00CF72D0" w:rsidRPr="00263799">
                <w:rPr>
                  <w:rFonts w:ascii="Arial" w:eastAsia="Times New Roman" w:hAnsi="Arial" w:cs="Arial"/>
                  <w:vanish/>
                  <w:color w:val="000000"/>
                  <w:spacing w:val="24"/>
                  <w:sz w:val="18"/>
                  <w:vertAlign w:val="superscript"/>
                  <w:lang w:eastAsia="es-MX"/>
                </w:rPr>
                <w:t>La variación porcentual está expresada en puntos porcentuales.</w:t>
              </w:r>
            </w:hyperlink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Sept.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- 0.66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- 0.20</w:t>
            </w:r>
          </w:p>
        </w:tc>
      </w:tr>
      <w:tr w:rsidR="00CF72D0" w:rsidRPr="00263799" w:rsidTr="00196A54"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795A1D" w:rsidP="00196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20" w:history="1">
              <w:r w:rsidR="00CF72D0"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lang w:eastAsia="es-MX"/>
                </w:rPr>
                <w:t>Población Ocupada (ENOE)</w:t>
              </w:r>
            </w:hyperlink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II </w:t>
            </w:r>
            <w:proofErr w:type="spellStart"/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Trim</w:t>
            </w:r>
            <w:proofErr w:type="spellEnd"/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4.49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795A1D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21" w:history="1">
              <w:r w:rsidR="00CF72D0"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lang w:eastAsia="es-MX"/>
                </w:rPr>
                <w:t>ND</w:t>
              </w:r>
              <w:r w:rsidR="00CF72D0" w:rsidRPr="00263799">
                <w:rPr>
                  <w:rFonts w:ascii="Arial" w:eastAsia="Times New Roman" w:hAnsi="Arial" w:cs="Arial"/>
                  <w:vanish/>
                  <w:color w:val="000000"/>
                  <w:spacing w:val="24"/>
                  <w:sz w:val="18"/>
                  <w:lang w:eastAsia="es-MX"/>
                </w:rPr>
                <w:t>No disponible</w:t>
              </w:r>
            </w:hyperlink>
          </w:p>
        </w:tc>
      </w:tr>
      <w:tr w:rsidR="00CF72D0" w:rsidRPr="00263799" w:rsidTr="00196A54"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795A1D" w:rsidP="00196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22" w:history="1">
              <w:r w:rsidR="00CF72D0"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lang w:eastAsia="es-MX"/>
                </w:rPr>
                <w:t>Índice de personal ocupado en el sector manufacturero</w:t>
              </w:r>
            </w:hyperlink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Ago.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2.36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0.01</w:t>
            </w:r>
          </w:p>
        </w:tc>
      </w:tr>
      <w:tr w:rsidR="00CF72D0" w:rsidRPr="00263799" w:rsidTr="00196A54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F0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F72D0" w:rsidRPr="00263799" w:rsidRDefault="00795A1D" w:rsidP="00196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hyperlink r:id="rId23" w:history="1">
              <w:r w:rsidR="00CF72D0" w:rsidRPr="00263799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u w:val="single"/>
                  <w:lang w:eastAsia="es-MX"/>
                </w:rPr>
                <w:t>Índice de personal ocupado en establecimientos comerciales:</w:t>
              </w:r>
            </w:hyperlink>
          </w:p>
        </w:tc>
      </w:tr>
      <w:tr w:rsidR="00CF72D0" w:rsidRPr="00263799" w:rsidTr="00196A54"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  Al por mayor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Ago.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1.26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0.12</w:t>
            </w:r>
          </w:p>
        </w:tc>
      </w:tr>
      <w:tr w:rsidR="00CF72D0" w:rsidRPr="00263799" w:rsidTr="00196A54"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  Al por menor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Ago.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3.45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- 0.41</w:t>
            </w:r>
          </w:p>
        </w:tc>
      </w:tr>
      <w:tr w:rsidR="00CF72D0" w:rsidRPr="00263799" w:rsidTr="00196A54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F0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F72D0" w:rsidRPr="00263799" w:rsidRDefault="00795A1D" w:rsidP="00196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hyperlink r:id="rId24" w:history="1">
              <w:r w:rsidR="00CF72D0" w:rsidRPr="00263799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u w:val="single"/>
                  <w:lang w:eastAsia="es-MX"/>
                </w:rPr>
                <w:t>Índice de ventas netas de mercancías en los establecimientos comerciales:</w:t>
              </w:r>
            </w:hyperlink>
          </w:p>
        </w:tc>
      </w:tr>
      <w:tr w:rsidR="00CF72D0" w:rsidRPr="00263799" w:rsidTr="00196A54"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  Al por mayor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Ago.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3.45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0.59</w:t>
            </w:r>
          </w:p>
        </w:tc>
      </w:tr>
      <w:tr w:rsidR="00CF72D0" w:rsidRPr="00263799" w:rsidTr="00196A54"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  Al por menor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Ago.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4.82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1.06</w:t>
            </w:r>
          </w:p>
        </w:tc>
      </w:tr>
      <w:tr w:rsidR="00CF72D0" w:rsidRPr="00263799" w:rsidTr="00196A54"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795A1D" w:rsidP="00196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25" w:history="1">
              <w:r w:rsidR="00CF72D0"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lang w:eastAsia="es-MX"/>
                </w:rPr>
                <w:t>Personal ocupado en las empresas constructoras</w:t>
              </w:r>
            </w:hyperlink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Jul.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3.29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- 0.11</w:t>
            </w:r>
          </w:p>
        </w:tc>
      </w:tr>
      <w:tr w:rsidR="00CF72D0" w:rsidRPr="00263799" w:rsidTr="00196A54"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795A1D" w:rsidP="00196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26" w:history="1">
              <w:r w:rsidR="00CF72D0"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lang w:eastAsia="es-MX"/>
                </w:rPr>
                <w:t>Inversión fija bruta</w:t>
              </w:r>
            </w:hyperlink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Jul.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6.62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0.88</w:t>
            </w:r>
          </w:p>
        </w:tc>
      </w:tr>
      <w:tr w:rsidR="00CF72D0" w:rsidRPr="00263799" w:rsidTr="00196A54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F0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F72D0" w:rsidRPr="00263799" w:rsidRDefault="00795A1D" w:rsidP="00196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hyperlink r:id="rId27" w:history="1">
              <w:r w:rsidR="00CF72D0" w:rsidRPr="00263799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u w:val="single"/>
                  <w:lang w:eastAsia="es-MX"/>
                </w:rPr>
                <w:t>Sistema de indicadores cíclicos</w:t>
              </w:r>
            </w:hyperlink>
          </w:p>
        </w:tc>
      </w:tr>
      <w:tr w:rsidR="00CF72D0" w:rsidRPr="00263799" w:rsidTr="00196A54"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  Coincidente </w:t>
            </w:r>
            <w:hyperlink r:id="rId28" w:history="1">
              <w:r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vertAlign w:val="superscript"/>
                  <w:lang w:eastAsia="es-MX"/>
                </w:rPr>
                <w:t>c</w:t>
              </w:r>
              <w:r w:rsidRPr="00263799">
                <w:rPr>
                  <w:rFonts w:ascii="Arial" w:eastAsia="Times New Roman" w:hAnsi="Arial" w:cs="Arial"/>
                  <w:vanish/>
                  <w:color w:val="000000"/>
                  <w:spacing w:val="24"/>
                  <w:sz w:val="18"/>
                  <w:vertAlign w:val="superscript"/>
                  <w:lang w:eastAsia="es-MX"/>
                </w:rPr>
                <w:t>La variación porcentual está expresada en puntos porcentuales.</w:t>
              </w:r>
            </w:hyperlink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Jul.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795A1D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29" w:history="1">
              <w:r w:rsidR="00CF72D0"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lang w:eastAsia="es-MX"/>
                </w:rPr>
                <w:t>NA</w:t>
              </w:r>
              <w:r w:rsidR="00CF72D0" w:rsidRPr="00263799">
                <w:rPr>
                  <w:rFonts w:ascii="Arial" w:eastAsia="Times New Roman" w:hAnsi="Arial" w:cs="Arial"/>
                  <w:vanish/>
                  <w:color w:val="000000"/>
                  <w:spacing w:val="24"/>
                  <w:sz w:val="18"/>
                  <w:lang w:eastAsia="es-MX"/>
                </w:rPr>
                <w:t>No aplicable</w:t>
              </w:r>
            </w:hyperlink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0.06</w:t>
            </w:r>
          </w:p>
        </w:tc>
      </w:tr>
      <w:tr w:rsidR="00CF72D0" w:rsidRPr="00263799" w:rsidTr="00196A54"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  Adelantado </w:t>
            </w:r>
            <w:hyperlink r:id="rId30" w:history="1">
              <w:r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vertAlign w:val="superscript"/>
                  <w:lang w:eastAsia="es-MX"/>
                </w:rPr>
                <w:t>c</w:t>
              </w:r>
              <w:r w:rsidRPr="00263799">
                <w:rPr>
                  <w:rFonts w:ascii="Arial" w:eastAsia="Times New Roman" w:hAnsi="Arial" w:cs="Arial"/>
                  <w:vanish/>
                  <w:color w:val="000000"/>
                  <w:spacing w:val="24"/>
                  <w:sz w:val="18"/>
                  <w:vertAlign w:val="superscript"/>
                  <w:lang w:eastAsia="es-MX"/>
                </w:rPr>
                <w:t>La variación porcentual está expresada en puntos porcentuales.</w:t>
              </w:r>
            </w:hyperlink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  <w:hyperlink r:id="rId31" w:history="1">
              <w:r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vertAlign w:val="superscript"/>
                  <w:lang w:eastAsia="es-MX"/>
                </w:rPr>
                <w:t>O</w:t>
              </w:r>
              <w:r w:rsidRPr="00263799">
                <w:rPr>
                  <w:rFonts w:ascii="Arial" w:eastAsia="Times New Roman" w:hAnsi="Arial" w:cs="Arial"/>
                  <w:vanish/>
                  <w:color w:val="000000"/>
                  <w:spacing w:val="24"/>
                  <w:sz w:val="18"/>
                  <w:vertAlign w:val="superscript"/>
                  <w:lang w:eastAsia="es-MX"/>
                </w:rPr>
                <w:t>Cifras oportunas</w:t>
              </w:r>
            </w:hyperlink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Ago.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795A1D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32" w:history="1">
              <w:r w:rsidR="00CF72D0" w:rsidRPr="00263799">
                <w:rPr>
                  <w:rFonts w:ascii="Arial" w:eastAsia="Times New Roman" w:hAnsi="Arial" w:cs="Arial"/>
                  <w:color w:val="000000"/>
                  <w:sz w:val="20"/>
                  <w:u w:val="single"/>
                  <w:lang w:eastAsia="es-MX"/>
                </w:rPr>
                <w:t>NA</w:t>
              </w:r>
              <w:r w:rsidR="00CF72D0" w:rsidRPr="00263799">
                <w:rPr>
                  <w:rFonts w:ascii="Arial" w:eastAsia="Times New Roman" w:hAnsi="Arial" w:cs="Arial"/>
                  <w:vanish/>
                  <w:color w:val="000000"/>
                  <w:spacing w:val="24"/>
                  <w:sz w:val="18"/>
                  <w:lang w:eastAsia="es-MX"/>
                </w:rPr>
                <w:t>No aplicable</w:t>
              </w:r>
            </w:hyperlink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single" w:sz="2" w:space="0" w:color="CDCDCD"/>
              <w:right w:val="single" w:sz="2" w:space="0" w:color="CDCDCD"/>
            </w:tcBorders>
            <w:shd w:val="clear" w:color="auto" w:fill="EFE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72D0" w:rsidRPr="00263799" w:rsidRDefault="00CF72D0" w:rsidP="00196A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3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- 0.11</w:t>
            </w:r>
          </w:p>
        </w:tc>
      </w:tr>
    </w:tbl>
    <w:p w:rsidR="00CF72D0" w:rsidRPr="00196A54" w:rsidRDefault="00196A54">
      <w:pPr>
        <w:rPr>
          <w:b/>
          <w:sz w:val="28"/>
        </w:rPr>
      </w:pPr>
      <w:r>
        <w:rPr>
          <w:b/>
          <w:sz w:val="28"/>
        </w:rPr>
        <w:t xml:space="preserve">VARIABLE DE </w:t>
      </w:r>
      <w:r w:rsidR="00263799" w:rsidRPr="00263799">
        <w:rPr>
          <w:b/>
          <w:sz w:val="28"/>
        </w:rPr>
        <w:t xml:space="preserve">ECONOMIA </w:t>
      </w:r>
    </w:p>
    <w:p w:rsidR="00263799" w:rsidRPr="00263799" w:rsidRDefault="00263799">
      <w:pPr>
        <w:rPr>
          <w:b/>
          <w:sz w:val="32"/>
        </w:rPr>
      </w:pPr>
      <w:r w:rsidRPr="00263799">
        <w:rPr>
          <w:b/>
          <w:sz w:val="32"/>
        </w:rPr>
        <w:lastRenderedPageBreak/>
        <w:t xml:space="preserve">Cuentas Nacionales </w:t>
      </w:r>
    </w:p>
    <w:p w:rsidR="00263799" w:rsidRPr="00263799" w:rsidRDefault="00263799">
      <w:pPr>
        <w:rPr>
          <w:sz w:val="28"/>
        </w:rPr>
      </w:pPr>
      <w:r w:rsidRPr="00263799">
        <w:rPr>
          <w:sz w:val="28"/>
        </w:rPr>
        <w:t>Variación porcentual anual del valor agregado bruto por sector a precios básicos, sector público.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10809"/>
      </w:tblGrid>
      <w:tr w:rsidR="00263799" w:rsidRPr="00263799" w:rsidTr="00263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3799" w:rsidRPr="00263799" w:rsidRDefault="00263799" w:rsidP="00263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9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49"/>
            </w:tblGrid>
            <w:tr w:rsidR="00263799" w:rsidRPr="00263799">
              <w:tc>
                <w:tcPr>
                  <w:tcW w:w="0" w:type="auto"/>
                  <w:vAlign w:val="center"/>
                  <w:hideMark/>
                </w:tcPr>
                <w:p w:rsidR="00263799" w:rsidRPr="00263799" w:rsidRDefault="00263799" w:rsidP="00263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</w:tbl>
          <w:p w:rsidR="00263799" w:rsidRPr="00263799" w:rsidRDefault="00263799" w:rsidP="0026379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18"/>
                <w:szCs w:val="18"/>
                <w:lang w:eastAsia="es-MX"/>
              </w:rPr>
            </w:pPr>
          </w:p>
          <w:tbl>
            <w:tblPr>
              <w:tblW w:w="5000" w:type="pct"/>
              <w:tblBorders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6807"/>
              <w:gridCol w:w="749"/>
              <w:gridCol w:w="456"/>
              <w:gridCol w:w="456"/>
              <w:gridCol w:w="456"/>
              <w:gridCol w:w="456"/>
              <w:gridCol w:w="456"/>
              <w:gridCol w:w="456"/>
              <w:gridCol w:w="456"/>
            </w:tblGrid>
            <w:tr w:rsidR="00CF72D0" w:rsidRPr="00263799" w:rsidTr="00196A54">
              <w:tc>
                <w:tcPr>
                  <w:tcW w:w="2617" w:type="pct"/>
                  <w:tcBorders>
                    <w:bottom w:val="single" w:sz="6" w:space="0" w:color="C8C8C8"/>
                    <w:right w:val="single" w:sz="6" w:space="0" w:color="C8C8C8"/>
                  </w:tcBorders>
                  <w:shd w:val="clear" w:color="auto" w:fill="EFEFF0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263799" w:rsidRDefault="00263799" w:rsidP="0026379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637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C8C8C8"/>
                    <w:right w:val="single" w:sz="6" w:space="0" w:color="C8C8C8"/>
                  </w:tcBorders>
                  <w:shd w:val="clear" w:color="auto" w:fill="EFEFF0"/>
                  <w:tcMar>
                    <w:top w:w="84" w:type="dxa"/>
                    <w:left w:w="50" w:type="dxa"/>
                    <w:bottom w:w="84" w:type="dxa"/>
                    <w:right w:w="50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  <w:t>2004</w:t>
                  </w:r>
                </w:p>
              </w:tc>
              <w:tc>
                <w:tcPr>
                  <w:tcW w:w="232" w:type="pct"/>
                  <w:tcBorders>
                    <w:bottom w:val="single" w:sz="6" w:space="0" w:color="C8C8C8"/>
                    <w:right w:val="single" w:sz="6" w:space="0" w:color="C8C8C8"/>
                  </w:tcBorders>
                  <w:shd w:val="clear" w:color="auto" w:fill="EFEFF0"/>
                  <w:tcMar>
                    <w:top w:w="84" w:type="dxa"/>
                    <w:left w:w="50" w:type="dxa"/>
                    <w:bottom w:w="84" w:type="dxa"/>
                    <w:right w:w="50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  <w:t>2005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8C8C8"/>
                    <w:right w:val="single" w:sz="6" w:space="0" w:color="C8C8C8"/>
                  </w:tcBorders>
                  <w:shd w:val="clear" w:color="auto" w:fill="EFEFF0"/>
                  <w:tcMar>
                    <w:top w:w="84" w:type="dxa"/>
                    <w:left w:w="50" w:type="dxa"/>
                    <w:bottom w:w="84" w:type="dxa"/>
                    <w:right w:w="50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  <w:t>2006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8C8C8"/>
                    <w:right w:val="single" w:sz="6" w:space="0" w:color="C8C8C8"/>
                  </w:tcBorders>
                  <w:shd w:val="clear" w:color="auto" w:fill="EFEFF0"/>
                  <w:tcMar>
                    <w:top w:w="84" w:type="dxa"/>
                    <w:left w:w="50" w:type="dxa"/>
                    <w:bottom w:w="84" w:type="dxa"/>
                    <w:right w:w="50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  <w:t>2007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8C8C8"/>
                    <w:right w:val="single" w:sz="6" w:space="0" w:color="C8C8C8"/>
                  </w:tcBorders>
                  <w:shd w:val="clear" w:color="auto" w:fill="EFEFF0"/>
                  <w:tcMar>
                    <w:top w:w="84" w:type="dxa"/>
                    <w:left w:w="50" w:type="dxa"/>
                    <w:bottom w:w="84" w:type="dxa"/>
                    <w:right w:w="50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  <w:t>2008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8C8C8"/>
                    <w:right w:val="single" w:sz="6" w:space="0" w:color="C8C8C8"/>
                  </w:tcBorders>
                  <w:shd w:val="clear" w:color="auto" w:fill="EFEFF0"/>
                  <w:tcMar>
                    <w:top w:w="84" w:type="dxa"/>
                    <w:left w:w="50" w:type="dxa"/>
                    <w:bottom w:w="84" w:type="dxa"/>
                    <w:right w:w="50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  <w:t xml:space="preserve">2009 </w:t>
                  </w:r>
                  <w:hyperlink r:id="rId33" w:tooltip="Cifras preliminares a partir de la fecha que se indica." w:history="1">
                    <w:r w:rsidRPr="00196A5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6"/>
                        <w:u w:val="single"/>
                        <w:vertAlign w:val="superscript"/>
                        <w:lang w:eastAsia="es-MX"/>
                      </w:rPr>
                      <w:t>P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8C8C8"/>
                    <w:right w:val="single" w:sz="6" w:space="0" w:color="C8C8C8"/>
                  </w:tcBorders>
                  <w:shd w:val="clear" w:color="auto" w:fill="EFEFF0"/>
                  <w:tcMar>
                    <w:top w:w="84" w:type="dxa"/>
                    <w:left w:w="50" w:type="dxa"/>
                    <w:bottom w:w="84" w:type="dxa"/>
                    <w:right w:w="50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  <w:t>2010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8C8C8"/>
                    <w:right w:val="single" w:sz="6" w:space="0" w:color="C8C8C8"/>
                  </w:tcBorders>
                  <w:shd w:val="clear" w:color="auto" w:fill="EFEFF0"/>
                  <w:tcMar>
                    <w:top w:w="84" w:type="dxa"/>
                    <w:left w:w="50" w:type="dxa"/>
                    <w:bottom w:w="84" w:type="dxa"/>
                    <w:right w:w="50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  <w:t>2011</w:t>
                  </w:r>
                </w:p>
              </w:tc>
            </w:tr>
            <w:tr w:rsidR="00263799" w:rsidRPr="00263799" w:rsidTr="00196A54">
              <w:tc>
                <w:tcPr>
                  <w:tcW w:w="2617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263799" w:rsidRDefault="00263799" w:rsidP="00263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637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Total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  <w:t>0.1</w:t>
                  </w:r>
                </w:p>
              </w:tc>
              <w:tc>
                <w:tcPr>
                  <w:tcW w:w="232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  <w:t>1.9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  <w:t>2.4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  <w:t>0.6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  <w:t>-0.7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  <w:t>2.5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8"/>
                      <w:lang w:eastAsia="es-MX"/>
                    </w:rPr>
                    <w:t>-0.3</w:t>
                  </w:r>
                </w:p>
              </w:tc>
            </w:tr>
            <w:tr w:rsidR="00263799" w:rsidRPr="00263799" w:rsidTr="00196A54">
              <w:tc>
                <w:tcPr>
                  <w:tcW w:w="2617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263799" w:rsidRDefault="00263799" w:rsidP="00263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6379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Agricultura, ganadería, aprovechamiento forestal, pesca y caza y minería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0.9</w:t>
                  </w:r>
                </w:p>
              </w:tc>
              <w:tc>
                <w:tcPr>
                  <w:tcW w:w="232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-0.1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1.0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-1.8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-3.0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-4.0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-0.3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-2.5</w:t>
                  </w:r>
                </w:p>
              </w:tc>
            </w:tr>
            <w:tr w:rsidR="00263799" w:rsidRPr="00263799" w:rsidTr="00196A54">
              <w:tc>
                <w:tcPr>
                  <w:tcW w:w="2617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263799" w:rsidRDefault="00263799" w:rsidP="00263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6379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Electricidad, agua, y suministro de gas por ductos al consumidor final y construcción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-1.7</w:t>
                  </w:r>
                </w:p>
              </w:tc>
              <w:tc>
                <w:tcPr>
                  <w:tcW w:w="232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1.7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11.2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-4.5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2.2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11.9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7.4</w:t>
                  </w:r>
                </w:p>
              </w:tc>
            </w:tr>
            <w:tr w:rsidR="00263799" w:rsidRPr="00263799" w:rsidTr="00196A54">
              <w:tc>
                <w:tcPr>
                  <w:tcW w:w="2617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263799" w:rsidRDefault="00263799" w:rsidP="00263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6379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Industrias manufactureras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5.9</w:t>
                  </w:r>
                </w:p>
              </w:tc>
              <w:tc>
                <w:tcPr>
                  <w:tcW w:w="232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-2.3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3.4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1.2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-3.7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2.4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-4.0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-2.5</w:t>
                  </w:r>
                </w:p>
              </w:tc>
            </w:tr>
            <w:tr w:rsidR="00263799" w:rsidRPr="00263799" w:rsidTr="00196A54">
              <w:tc>
                <w:tcPr>
                  <w:tcW w:w="2617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263799" w:rsidRDefault="00263799" w:rsidP="00263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6379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Comercio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-42.8</w:t>
                  </w:r>
                </w:p>
              </w:tc>
              <w:tc>
                <w:tcPr>
                  <w:tcW w:w="232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25.0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-82.0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194.1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67.0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-25.3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20.5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-52.5</w:t>
                  </w:r>
                </w:p>
              </w:tc>
            </w:tr>
            <w:tr w:rsidR="00263799" w:rsidRPr="00263799" w:rsidTr="00196A54">
              <w:tc>
                <w:tcPr>
                  <w:tcW w:w="2617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263799" w:rsidRDefault="00263799" w:rsidP="00263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6379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Transportes, correos y almacenamiento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5.2</w:t>
                  </w:r>
                </w:p>
              </w:tc>
              <w:tc>
                <w:tcPr>
                  <w:tcW w:w="232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5.0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5.1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-1.5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1.2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3.6</w:t>
                  </w:r>
                </w:p>
              </w:tc>
            </w:tr>
            <w:tr w:rsidR="00263799" w:rsidRPr="00263799" w:rsidTr="00196A54">
              <w:tc>
                <w:tcPr>
                  <w:tcW w:w="2617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263799" w:rsidRDefault="00263799" w:rsidP="00263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6379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Información en medios masivos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12.3</w:t>
                  </w:r>
                </w:p>
              </w:tc>
              <w:tc>
                <w:tcPr>
                  <w:tcW w:w="232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-9.6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10.2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13.6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-0.7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-6.5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-0.1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25.5</w:t>
                  </w:r>
                </w:p>
              </w:tc>
            </w:tr>
            <w:tr w:rsidR="00263799" w:rsidRPr="00263799" w:rsidTr="00196A54">
              <w:tc>
                <w:tcPr>
                  <w:tcW w:w="2617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263799" w:rsidRDefault="00263799" w:rsidP="00263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6379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Servicios financieros y de seguros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2.8</w:t>
                  </w:r>
                </w:p>
              </w:tc>
              <w:tc>
                <w:tcPr>
                  <w:tcW w:w="232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11.7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10.1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-4.5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1.5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6.8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11.0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3.0</w:t>
                  </w:r>
                </w:p>
              </w:tc>
            </w:tr>
            <w:tr w:rsidR="00263799" w:rsidRPr="00263799" w:rsidTr="00196A54">
              <w:tc>
                <w:tcPr>
                  <w:tcW w:w="2617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263799" w:rsidRDefault="00263799" w:rsidP="00263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6379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Servicios inmobiliarios y de alquiler de bienes muebles e intangibles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92.2</w:t>
                  </w:r>
                </w:p>
              </w:tc>
              <w:tc>
                <w:tcPr>
                  <w:tcW w:w="232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37.0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43.5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-48.8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123.2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12.8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6.8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-54.5</w:t>
                  </w:r>
                </w:p>
              </w:tc>
            </w:tr>
            <w:tr w:rsidR="00263799" w:rsidRPr="00263799" w:rsidTr="00196A54">
              <w:tc>
                <w:tcPr>
                  <w:tcW w:w="2617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263799" w:rsidRDefault="00263799" w:rsidP="00263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6379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Servicios profesionales, científicos y técnicos y dirección de corporativos y empresas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8.0</w:t>
                  </w:r>
                </w:p>
              </w:tc>
              <w:tc>
                <w:tcPr>
                  <w:tcW w:w="232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4.7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16.2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-4.2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13.7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-7.0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14.7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-3.2</w:t>
                  </w:r>
                </w:p>
              </w:tc>
            </w:tr>
            <w:tr w:rsidR="00263799" w:rsidRPr="00263799" w:rsidTr="00196A54">
              <w:tc>
                <w:tcPr>
                  <w:tcW w:w="2617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263799" w:rsidRDefault="00263799" w:rsidP="00263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6379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Servicios educativos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1.0</w:t>
                  </w:r>
                </w:p>
              </w:tc>
              <w:tc>
                <w:tcPr>
                  <w:tcW w:w="232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3.1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2.2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0.7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2.2</w:t>
                  </w:r>
                </w:p>
              </w:tc>
            </w:tr>
            <w:tr w:rsidR="00263799" w:rsidRPr="00263799" w:rsidTr="00196A54">
              <w:tc>
                <w:tcPr>
                  <w:tcW w:w="2617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263799" w:rsidRDefault="00263799" w:rsidP="00263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6379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Servicios de salud y de asistencia social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-1.0</w:t>
                  </w:r>
                </w:p>
              </w:tc>
              <w:tc>
                <w:tcPr>
                  <w:tcW w:w="232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1.1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10.8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2.1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-4.0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1.6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2.7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1.8</w:t>
                  </w:r>
                </w:p>
              </w:tc>
            </w:tr>
            <w:tr w:rsidR="00263799" w:rsidRPr="00263799" w:rsidTr="00196A54">
              <w:tc>
                <w:tcPr>
                  <w:tcW w:w="2617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263799" w:rsidRDefault="00263799" w:rsidP="00263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6379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Servicios de esparcimiento culturales y deportivos, y otros servicios recreativos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3.3</w:t>
                  </w:r>
                </w:p>
              </w:tc>
              <w:tc>
                <w:tcPr>
                  <w:tcW w:w="232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-3.1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9.0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4.2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-6.6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-4.6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13.5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-12.2</w:t>
                  </w:r>
                </w:p>
              </w:tc>
            </w:tr>
            <w:tr w:rsidR="00263799" w:rsidRPr="00263799" w:rsidTr="00196A54">
              <w:tc>
                <w:tcPr>
                  <w:tcW w:w="2617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263799" w:rsidRDefault="00263799" w:rsidP="00263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6379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Actividades de gobierno y de organismos internacionales y extraterritoriales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-1.3</w:t>
                  </w:r>
                </w:p>
              </w:tc>
              <w:tc>
                <w:tcPr>
                  <w:tcW w:w="232" w:type="pct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2.1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1.7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1.1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3.8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3.1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DCDCD"/>
                    <w:right w:val="single" w:sz="6" w:space="0" w:color="CDCDCD"/>
                  </w:tcBorders>
                  <w:noWrap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263799" w:rsidRPr="00196A54" w:rsidRDefault="00263799" w:rsidP="002637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</w:pPr>
                  <w:r w:rsidRPr="00196A54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  <w:lang w:eastAsia="es-MX"/>
                    </w:rPr>
                    <w:t>-2.1</w:t>
                  </w:r>
                </w:p>
              </w:tc>
            </w:tr>
          </w:tbl>
          <w:p w:rsidR="00263799" w:rsidRPr="00263799" w:rsidRDefault="00263799" w:rsidP="00263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:rsidR="00263799" w:rsidRDefault="00263799"/>
    <w:p w:rsidR="00CF72D0" w:rsidRDefault="00CF72D0">
      <w:pPr>
        <w:rPr>
          <w:b/>
          <w:sz w:val="32"/>
        </w:rPr>
      </w:pPr>
      <w:r w:rsidRPr="00CF72D0">
        <w:rPr>
          <w:b/>
          <w:sz w:val="32"/>
        </w:rPr>
        <w:t>Cuentas Nacionales</w:t>
      </w:r>
    </w:p>
    <w:p w:rsidR="00CF72D0" w:rsidRPr="00CF72D0" w:rsidRDefault="00CF72D0">
      <w:pPr>
        <w:rPr>
          <w:sz w:val="28"/>
        </w:rPr>
      </w:pPr>
      <w:r w:rsidRPr="00CF72D0">
        <w:rPr>
          <w:sz w:val="28"/>
        </w:rPr>
        <w:t>Sectores institucionales. Participación en el ingreso disponible de la economía.</w:t>
      </w:r>
    </w:p>
    <w:tbl>
      <w:tblPr>
        <w:tblW w:w="49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464"/>
        <w:gridCol w:w="749"/>
        <w:gridCol w:w="749"/>
        <w:gridCol w:w="749"/>
        <w:gridCol w:w="749"/>
        <w:gridCol w:w="749"/>
        <w:gridCol w:w="749"/>
        <w:gridCol w:w="943"/>
        <w:gridCol w:w="749"/>
      </w:tblGrid>
      <w:tr w:rsidR="00CF72D0" w:rsidRPr="00CF72D0"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2003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2004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2005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2006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2007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2009 </w:t>
            </w:r>
            <w:hyperlink r:id="rId34" w:tooltip="Cifras preliminares a partir de la fecha que se indica." w:history="1">
              <w:r w:rsidRPr="00CF72D0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vertAlign w:val="superscript"/>
                  <w:lang w:eastAsia="es-MX"/>
                </w:rPr>
                <w:t>P</w:t>
              </w:r>
            </w:hyperlink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2010</w:t>
            </w:r>
          </w:p>
        </w:tc>
      </w:tr>
      <w:tr w:rsidR="00CF72D0" w:rsidRPr="00CF72D0"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Ingreso disponible de la economía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</w:tr>
      <w:tr w:rsidR="00CF72D0" w:rsidRPr="00CF72D0"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Sociedades no financieras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3.2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4.7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3.6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6.3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5.7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4.8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5.1</w:t>
            </w:r>
          </w:p>
        </w:tc>
      </w:tr>
      <w:tr w:rsidR="00CF72D0" w:rsidRPr="00CF72D0"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Sociedades financieras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1.8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3.2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3.5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3.7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3.8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4.1</w:t>
            </w:r>
          </w:p>
        </w:tc>
      </w:tr>
      <w:tr w:rsidR="00CF72D0" w:rsidRPr="00CF72D0"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Gobierno general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14.6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14.2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14.8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14.1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13.7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15.1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13.9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14.4</w:t>
            </w:r>
          </w:p>
        </w:tc>
      </w:tr>
      <w:tr w:rsidR="00CF72D0" w:rsidRPr="00CF72D0"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Hogares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79.1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76.6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76.9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74.7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74.3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74.1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76.2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74.8</w:t>
            </w:r>
          </w:p>
        </w:tc>
      </w:tr>
      <w:tr w:rsidR="00CF72D0" w:rsidRPr="00CF72D0"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IPSFLH </w:t>
            </w:r>
            <w:hyperlink r:id="rId35" w:tooltip="Instituciones privadas sin fines de lucro que sirven a los hogares." w:history="1">
              <w:r w:rsidRPr="00CF72D0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u w:val="single"/>
                  <w:vertAlign w:val="superscript"/>
                  <w:lang w:eastAsia="es-MX"/>
                </w:rPr>
                <w:t>a</w:t>
              </w:r>
            </w:hyperlink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1.3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1.3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1.6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1.6</w:t>
            </w:r>
          </w:p>
        </w:tc>
      </w:tr>
    </w:tbl>
    <w:p w:rsidR="00CF72D0" w:rsidRPr="00CF72D0" w:rsidRDefault="00CF72D0">
      <w:pPr>
        <w:rPr>
          <w:sz w:val="28"/>
        </w:rPr>
      </w:pPr>
    </w:p>
    <w:p w:rsidR="00CF72D0" w:rsidRDefault="00CF72D0">
      <w:r w:rsidRPr="00CF72D0">
        <w:rPr>
          <w:sz w:val="28"/>
        </w:rPr>
        <w:t>Sectores institucionales. Participación</w:t>
      </w:r>
      <w:r>
        <w:rPr>
          <w:sz w:val="28"/>
        </w:rPr>
        <w:t xml:space="preserve"> en el ahorro</w:t>
      </w:r>
      <w:r w:rsidRPr="00CF72D0">
        <w:rPr>
          <w:sz w:val="28"/>
        </w:rPr>
        <w:t xml:space="preserve"> disponible de la economía.</w:t>
      </w:r>
    </w:p>
    <w:tbl>
      <w:tblPr>
        <w:tblW w:w="49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926"/>
        <w:gridCol w:w="814"/>
        <w:gridCol w:w="814"/>
        <w:gridCol w:w="814"/>
        <w:gridCol w:w="814"/>
        <w:gridCol w:w="814"/>
        <w:gridCol w:w="814"/>
        <w:gridCol w:w="1026"/>
        <w:gridCol w:w="814"/>
      </w:tblGrid>
      <w:tr w:rsidR="00CF72D0" w:rsidRPr="00CF72D0"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2003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2004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2005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2006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2007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2009 </w:t>
            </w:r>
            <w:hyperlink r:id="rId36" w:tooltip="Cifras preliminares a partir de la fecha que se indica." w:history="1">
              <w:r w:rsidRPr="00CF72D0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u w:val="single"/>
                  <w:vertAlign w:val="superscript"/>
                  <w:lang w:eastAsia="es-MX"/>
                </w:rPr>
                <w:t>P</w:t>
              </w:r>
            </w:hyperlink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2010</w:t>
            </w:r>
          </w:p>
        </w:tc>
      </w:tr>
      <w:tr w:rsidR="00CF72D0" w:rsidRPr="00CF72D0"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Ahorro total de la economía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</w:tr>
      <w:tr w:rsidR="00CF72D0" w:rsidRPr="00CF72D0"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Sociedades no financieras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47.7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44.5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53.2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58.7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56.4</w:t>
            </w:r>
          </w:p>
        </w:tc>
      </w:tr>
      <w:tr w:rsidR="00CF72D0" w:rsidRPr="00CF72D0"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Sociedades financieras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-0.6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4.9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5.1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5.9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6.3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3.8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4.8</w:t>
            </w:r>
          </w:p>
        </w:tc>
      </w:tr>
      <w:tr w:rsidR="00CF72D0" w:rsidRPr="00CF72D0"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Gobierno general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9.8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12.5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10.5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12.3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2.5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5.3</w:t>
            </w:r>
          </w:p>
        </w:tc>
      </w:tr>
      <w:tr w:rsidR="00CF72D0" w:rsidRPr="00CF72D0"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Hogares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44.7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35.9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32.6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29.7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32.6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30.9</w:t>
            </w:r>
          </w:p>
        </w:tc>
      </w:tr>
      <w:tr w:rsidR="00CF72D0" w:rsidRPr="00CF72D0"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IPSFLH </w:t>
            </w:r>
            <w:hyperlink r:id="rId37" w:tooltip="Instituciones privadas sin fines de lucro que sirven a los hogares." w:history="1">
              <w:r w:rsidRPr="00CF72D0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u w:val="single"/>
                  <w:vertAlign w:val="superscript"/>
                  <w:lang w:eastAsia="es-MX"/>
                </w:rPr>
                <w:t>a</w:t>
              </w:r>
            </w:hyperlink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1.5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1.5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1.5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2.6</w:t>
            </w:r>
          </w:p>
        </w:tc>
      </w:tr>
    </w:tbl>
    <w:p w:rsidR="00CF72D0" w:rsidRDefault="00CF72D0"/>
    <w:p w:rsidR="00196A54" w:rsidRDefault="00196A54">
      <w:pPr>
        <w:rPr>
          <w:sz w:val="28"/>
        </w:rPr>
      </w:pPr>
    </w:p>
    <w:p w:rsidR="00CF72D0" w:rsidRDefault="00196A54">
      <w:r w:rsidRPr="00CF72D0">
        <w:rPr>
          <w:sz w:val="28"/>
        </w:rPr>
        <w:lastRenderedPageBreak/>
        <w:t>Sectores institucionales. Participación</w:t>
      </w:r>
      <w:r>
        <w:rPr>
          <w:sz w:val="28"/>
        </w:rPr>
        <w:t xml:space="preserve"> en la producción </w:t>
      </w:r>
      <w:r w:rsidRPr="00CF72D0">
        <w:rPr>
          <w:sz w:val="28"/>
        </w:rPr>
        <w:t>de la economía.</w:t>
      </w:r>
    </w:p>
    <w:tbl>
      <w:tblPr>
        <w:tblW w:w="49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671"/>
        <w:gridCol w:w="857"/>
        <w:gridCol w:w="857"/>
        <w:gridCol w:w="857"/>
        <w:gridCol w:w="857"/>
        <w:gridCol w:w="857"/>
        <w:gridCol w:w="857"/>
        <w:gridCol w:w="1079"/>
        <w:gridCol w:w="857"/>
      </w:tblGrid>
      <w:tr w:rsidR="00CF72D0" w:rsidRPr="00CF72D0">
        <w:tc>
          <w:tcPr>
            <w:tcW w:w="0" w:type="auto"/>
            <w:gridSpan w:val="9"/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CF72D0" w:rsidRPr="00CF72D0"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2003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2004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2005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2006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2007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2009 </w:t>
            </w:r>
            <w:hyperlink r:id="rId38" w:tooltip="Cifras preliminares a partir de la fecha que se indica." w:history="1">
              <w:r w:rsidRPr="00CF72D0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u w:val="single"/>
                  <w:vertAlign w:val="superscript"/>
                  <w:lang w:eastAsia="es-MX"/>
                </w:rPr>
                <w:t>P</w:t>
              </w:r>
            </w:hyperlink>
          </w:p>
        </w:tc>
        <w:tc>
          <w:tcPr>
            <w:tcW w:w="0" w:type="auto"/>
            <w:tcBorders>
              <w:bottom w:val="single" w:sz="6" w:space="0" w:color="C8C8C8"/>
              <w:right w:val="single" w:sz="6" w:space="0" w:color="C8C8C8"/>
            </w:tcBorders>
            <w:shd w:val="clear" w:color="auto" w:fill="EFEFF0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2010</w:t>
            </w:r>
          </w:p>
        </w:tc>
      </w:tr>
      <w:tr w:rsidR="00CF72D0" w:rsidRPr="00CF72D0"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Economía total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100.0</w:t>
            </w:r>
          </w:p>
        </w:tc>
      </w:tr>
      <w:tr w:rsidR="00CF72D0" w:rsidRPr="00CF72D0"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Sociedades no financieras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65.4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66.4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66.4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67.0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66.8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66.4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64.7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65.2</w:t>
            </w:r>
          </w:p>
        </w:tc>
      </w:tr>
      <w:tr w:rsidR="00CF72D0" w:rsidRPr="00CF72D0"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Sociedades financieras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2.5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2.5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2.7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2.8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3.3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3.1</w:t>
            </w:r>
          </w:p>
        </w:tc>
      </w:tr>
      <w:tr w:rsidR="00CF72D0" w:rsidRPr="00CF72D0"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Gobierno general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6.2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6.3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6.3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7.2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7.1</w:t>
            </w:r>
          </w:p>
        </w:tc>
      </w:tr>
      <w:tr w:rsidR="00CF72D0" w:rsidRPr="00CF72D0"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Hogares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24.0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23.9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23.4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23.8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24.2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24.0</w:t>
            </w:r>
          </w:p>
        </w:tc>
      </w:tr>
      <w:tr w:rsidR="00CF72D0" w:rsidRPr="00CF72D0"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IPSFLH </w:t>
            </w:r>
            <w:hyperlink r:id="rId39" w:tooltip="Instituciones privadas sin fines de lucro que sirven a los hogares." w:history="1">
              <w:r w:rsidRPr="00CF72D0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u w:val="single"/>
                  <w:vertAlign w:val="superscript"/>
                  <w:lang w:eastAsia="es-MX"/>
                </w:rPr>
                <w:t>a</w:t>
              </w:r>
            </w:hyperlink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0.8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0.7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0.7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0.6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0.6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0.6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0.7</w:t>
            </w:r>
          </w:p>
        </w:tc>
        <w:tc>
          <w:tcPr>
            <w:tcW w:w="0" w:type="auto"/>
            <w:tcBorders>
              <w:bottom w:val="single" w:sz="6" w:space="0" w:color="CDCDCD"/>
              <w:right w:val="single" w:sz="6" w:space="0" w:color="CDCDCD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F72D0" w:rsidRPr="00CF72D0" w:rsidRDefault="00CF72D0" w:rsidP="00CF7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F72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0.6</w:t>
            </w:r>
          </w:p>
        </w:tc>
      </w:tr>
    </w:tbl>
    <w:p w:rsidR="00CF72D0" w:rsidRDefault="00CF72D0"/>
    <w:p w:rsidR="005E4C84" w:rsidRDefault="005E4C84"/>
    <w:p w:rsidR="005E4C84" w:rsidRDefault="005E4C84">
      <w:r>
        <w:t>INTEGRANTES:</w:t>
      </w:r>
    </w:p>
    <w:p w:rsidR="005E4C84" w:rsidRDefault="005E4C84">
      <w:r>
        <w:t>BRENDANY VELAZQUEZ</w:t>
      </w:r>
    </w:p>
    <w:p w:rsidR="005E4C84" w:rsidRDefault="005E4C84">
      <w:r>
        <w:t>RAFAEL GONZALEZ GUZMAN</w:t>
      </w:r>
    </w:p>
    <w:p w:rsidR="005E4C84" w:rsidRDefault="005E4C84">
      <w:r>
        <w:t>ANGEL VALDEZ DE LA TORRE</w:t>
      </w:r>
    </w:p>
    <w:p w:rsidR="005E4C84" w:rsidRDefault="005E4C84">
      <w:r>
        <w:t>RAFAEL VILLASEÑOR MARTINEZ</w:t>
      </w:r>
    </w:p>
    <w:p w:rsidR="005E4C84" w:rsidRDefault="005E4C84">
      <w:r>
        <w:t>RODRIGO VILLALOBOS</w:t>
      </w:r>
      <w:bookmarkStart w:id="0" w:name="_GoBack"/>
      <w:bookmarkEnd w:id="0"/>
    </w:p>
    <w:sectPr w:rsidR="005E4C84" w:rsidSect="00CF72D0">
      <w:headerReference w:type="default" r:id="rId4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A1D" w:rsidRDefault="00795A1D" w:rsidP="00263799">
      <w:pPr>
        <w:spacing w:after="0" w:line="240" w:lineRule="auto"/>
      </w:pPr>
      <w:r>
        <w:separator/>
      </w:r>
    </w:p>
  </w:endnote>
  <w:endnote w:type="continuationSeparator" w:id="0">
    <w:p w:rsidR="00795A1D" w:rsidRDefault="00795A1D" w:rsidP="0026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A1D" w:rsidRDefault="00795A1D" w:rsidP="00263799">
      <w:pPr>
        <w:spacing w:after="0" w:line="240" w:lineRule="auto"/>
      </w:pPr>
      <w:r>
        <w:separator/>
      </w:r>
    </w:p>
  </w:footnote>
  <w:footnote w:type="continuationSeparator" w:id="0">
    <w:p w:rsidR="00795A1D" w:rsidRDefault="00795A1D" w:rsidP="00263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D0" w:rsidRDefault="00CF72D0">
    <w:pPr>
      <w:pStyle w:val="Encabezado"/>
    </w:pPr>
  </w:p>
  <w:p w:rsidR="00CF72D0" w:rsidRPr="00263799" w:rsidRDefault="00CF72D0">
    <w:pPr>
      <w:pStyle w:val="Encabezado"/>
      <w:rPr>
        <w:b/>
        <w:sz w:val="28"/>
      </w:rPr>
    </w:pPr>
  </w:p>
  <w:p w:rsidR="00CF72D0" w:rsidRPr="00263799" w:rsidRDefault="00CF72D0">
    <w:pPr>
      <w:pStyle w:val="Encabezado"/>
      <w:rPr>
        <w:b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799"/>
    <w:rsid w:val="00000900"/>
    <w:rsid w:val="00196A54"/>
    <w:rsid w:val="00263799"/>
    <w:rsid w:val="005E4C84"/>
    <w:rsid w:val="00795A1D"/>
    <w:rsid w:val="00CF72D0"/>
    <w:rsid w:val="00E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63799"/>
    <w:rPr>
      <w:rFonts w:ascii="Arial" w:hAnsi="Arial" w:cs="Arial" w:hint="default"/>
      <w:strike w:val="0"/>
      <w:dstrike w:val="0"/>
      <w:color w:val="000000"/>
      <w:u w:val="single"/>
      <w:effect w:val="none"/>
    </w:rPr>
  </w:style>
  <w:style w:type="character" w:customStyle="1" w:styleId="clasico1">
    <w:name w:val="clasico1"/>
    <w:basedOn w:val="Fuentedeprrafopredeter"/>
    <w:rsid w:val="00263799"/>
    <w:rPr>
      <w:rFonts w:ascii="Arial" w:hAnsi="Arial" w:cs="Arial" w:hint="default"/>
      <w:strike w:val="0"/>
      <w:dstrike w:val="0"/>
      <w:vanish/>
      <w:webHidden w:val="0"/>
      <w:color w:val="000000"/>
      <w:sz w:val="18"/>
      <w:szCs w:val="18"/>
      <w:u w:val="none"/>
      <w:effect w:val="none"/>
      <w:bdr w:val="single" w:sz="12" w:space="6" w:color="C8C8C8" w:frame="1"/>
      <w:shd w:val="clear" w:color="auto" w:fill="E8E8E8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63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799"/>
  </w:style>
  <w:style w:type="paragraph" w:styleId="Piedepgina">
    <w:name w:val="footer"/>
    <w:basedOn w:val="Normal"/>
    <w:link w:val="PiedepginaCar"/>
    <w:uiPriority w:val="99"/>
    <w:unhideWhenUsed/>
    <w:rsid w:val="00263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http://www.inegi.org.mx/sistemas/bie/cuadrosestadisticos/GeneraCuadro.aspx?s=est&amp;nc=621&amp;c=25447" TargetMode="External"/><Relationship Id="rId26" Type="http://schemas.openxmlformats.org/officeDocument/2006/relationships/hyperlink" Target="http://www.inegi.org.mx/sistemas/bie/cuadrosestadisticos/GeneraCuadro.aspx?s=est&amp;nc=488&amp;c=23958" TargetMode="External"/><Relationship Id="rId39" Type="http://schemas.openxmlformats.org/officeDocument/2006/relationships/hyperlink" Target="http://www.inegi.org.mx/sistemas/bie/cuadrosestadisticos/GeneraCuadro.aspx?s=est&amp;nc=724&amp;c=23907" TargetMode="External"/><Relationship Id="rId21" Type="http://schemas.openxmlformats.org/officeDocument/2006/relationships/hyperlink" Target="javascript:void(0)" TargetMode="External"/><Relationship Id="rId34" Type="http://schemas.openxmlformats.org/officeDocument/2006/relationships/hyperlink" Target="http://www.inegi.org.mx/sistemas/bie/cuadrosestadisticos/GeneraCuadro.aspx?s=est&amp;nc=721&amp;c=2385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inegi.org.mx/sistemas/bie/cuadrosestadisticos/GeneraCuadro.aspx?s=est&amp;nc=492&amp;c=239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http://www.inegi.org.mx/sistemas/bie/cuadrosestadisticos/GeneraCuadro.aspx?s=est&amp;nc=603&amp;c=25564" TargetMode="External"/><Relationship Id="rId29" Type="http://schemas.openxmlformats.org/officeDocument/2006/relationships/hyperlink" Target="javascript:void(0)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inegi.org.mx/sistemas/bie/cuadrosestadisticos/GeneraCuadro.aspx?s=est&amp;nc=485&amp;c=23953" TargetMode="External"/><Relationship Id="rId24" Type="http://schemas.openxmlformats.org/officeDocument/2006/relationships/hyperlink" Target="http://www.inegi.org.mx/sistemas/bie/cuadrosestadisticos/GeneraCuadro.aspx?s=est&amp;nc=523&amp;c=24892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http://www.inegi.org.mx/sistemas/bie/cuadrosestadisticos/GeneraCuadro.aspx?s=est&amp;nc=720&amp;c=23864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http://www.inegi.org.mx/sistemas/bie/cuadrosestadisticos/GeneraCuadro.aspx?s=est&amp;nc=442&amp;c=25503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http://www.inegi.org.mx/sistemas/bie/cuadrosestadisticos/GeneraCuadro.aspx?s=est&amp;nc=720&amp;c=23864" TargetMode="External"/><Relationship Id="rId10" Type="http://schemas.openxmlformats.org/officeDocument/2006/relationships/hyperlink" Target="http://www.inegi.org.mx/sistemas/bie/cuadrosestadisticos/GeneraCuadro.aspx?s=est&amp;nc=479&amp;c=24034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egi.org.mx/sistemas/bie/cuadrosestadisticos/GeneraCuadro.aspx?s=est&amp;nc=480&amp;c=23912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http://www.inegi.org.mx/sistemas/bie/cuadrosestadisticos/GeneraCuadro.aspx?s=est&amp;nc=444&amp;c=25533" TargetMode="External"/><Relationship Id="rId27" Type="http://schemas.openxmlformats.org/officeDocument/2006/relationships/hyperlink" Target="http://www.inegi.org.mx/sistemas/bie/cuadrosestadisticos/GeneraCuadro.aspx?s=est&amp;nc=831&amp;c=26582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http://www.inegi.org.mx/sistemas/bie/cuadrosestadisticos/GeneraCuadro.aspx?s=est&amp;nc=721&amp;c=23854" TargetMode="External"/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negi.org.mx/sistemas/sisept/default.aspx?t=eext14&amp;s=est&amp;c=24682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http://www.inegi.org.mx/sistemas/bie/cuadrosestadisticos/GeneraCuadro.aspx?s=est&amp;nc=450&amp;c=25516" TargetMode="External"/><Relationship Id="rId33" Type="http://schemas.openxmlformats.org/officeDocument/2006/relationships/hyperlink" Target="http://www.inegi.org.mx/sistemas/bie/cuadrosestadisticos/GeneraCuadro.aspx?s=est&amp;nc=798&amp;c=23844" TargetMode="External"/><Relationship Id="rId38" Type="http://schemas.openxmlformats.org/officeDocument/2006/relationships/hyperlink" Target="http://www.inegi.org.mx/sistemas/bie/cuadrosestadisticos/GeneraCuadro.aspx?s=est&amp;nc=724&amp;c=2390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1196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de jesus valdez de la torre</dc:creator>
  <cp:lastModifiedBy>Rafa</cp:lastModifiedBy>
  <cp:revision>2</cp:revision>
  <dcterms:created xsi:type="dcterms:W3CDTF">2012-10-30T18:01:00Z</dcterms:created>
  <dcterms:modified xsi:type="dcterms:W3CDTF">2012-10-30T18:38:00Z</dcterms:modified>
</cp:coreProperties>
</file>